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0F" w:rsidRDefault="00332102" w:rsidP="008B38F2">
      <w:pPr>
        <w:pStyle w:val="BodyText"/>
        <w:ind w:left="117"/>
        <w:jc w:val="center"/>
        <w:rPr>
          <w:rFonts w:ascii="Times New Roman"/>
          <w:sz w:val="20"/>
        </w:rPr>
      </w:pPr>
      <w:r>
        <w:rPr>
          <w:rFonts w:ascii="Times New Roman"/>
          <w:noProof/>
          <w:sz w:val="20"/>
          <w:lang w:val="en-GB" w:eastAsia="en-GB"/>
        </w:rPr>
        <w:drawing>
          <wp:inline distT="0" distB="0" distL="0" distR="0">
            <wp:extent cx="3188473" cy="2125555"/>
            <wp:effectExtent l="0" t="0" r="0" b="0"/>
            <wp:docPr id="1" name="Picture 1" descr="C:\Users\nicola\Desktop\RAV-LOGO-JU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Desktop\RAV-LOGO-JUN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924" cy="2125189"/>
                    </a:xfrm>
                    <a:prstGeom prst="rect">
                      <a:avLst/>
                    </a:prstGeom>
                    <a:noFill/>
                    <a:ln>
                      <a:noFill/>
                    </a:ln>
                  </pic:spPr>
                </pic:pic>
              </a:graphicData>
            </a:graphic>
          </wp:inline>
        </w:drawing>
      </w:r>
    </w:p>
    <w:p w:rsidR="00763D0F" w:rsidRDefault="00763D0F">
      <w:pPr>
        <w:pStyle w:val="BodyText"/>
        <w:rPr>
          <w:rFonts w:ascii="Times New Roman"/>
          <w:sz w:val="20"/>
        </w:rPr>
      </w:pPr>
    </w:p>
    <w:p w:rsidR="00763D0F" w:rsidRPr="00332102" w:rsidRDefault="00763D0F">
      <w:pPr>
        <w:pStyle w:val="BodyText"/>
        <w:spacing w:before="6"/>
        <w:rPr>
          <w:rFonts w:ascii="Times New Roman"/>
          <w:sz w:val="20"/>
          <w:szCs w:val="20"/>
        </w:rPr>
      </w:pPr>
    </w:p>
    <w:p w:rsidR="00763D0F" w:rsidRPr="00332102" w:rsidRDefault="008B38F2">
      <w:pPr>
        <w:spacing w:before="65"/>
        <w:ind w:left="1903" w:right="223" w:hanging="1659"/>
        <w:rPr>
          <w:b/>
          <w:i/>
          <w:sz w:val="20"/>
          <w:szCs w:val="20"/>
        </w:rPr>
      </w:pPr>
      <w:r w:rsidRPr="00332102">
        <w:rPr>
          <w:b/>
          <w:i/>
          <w:sz w:val="20"/>
          <w:szCs w:val="20"/>
        </w:rPr>
        <w:t>Policy on contributions to Eye Tests and Glasses for regular uses of VDU’s and other Display Screen Equipment</w:t>
      </w:r>
    </w:p>
    <w:p w:rsidR="00763D0F" w:rsidRPr="00332102" w:rsidRDefault="00763D0F">
      <w:pPr>
        <w:pStyle w:val="BodyText"/>
        <w:rPr>
          <w:b/>
          <w:i/>
          <w:sz w:val="20"/>
          <w:szCs w:val="20"/>
        </w:rPr>
      </w:pPr>
    </w:p>
    <w:p w:rsidR="00763D0F" w:rsidRPr="00332102" w:rsidRDefault="008B38F2">
      <w:pPr>
        <w:pStyle w:val="ListParagraph"/>
        <w:numPr>
          <w:ilvl w:val="0"/>
          <w:numId w:val="1"/>
        </w:numPr>
        <w:tabs>
          <w:tab w:val="left" w:pos="839"/>
        </w:tabs>
        <w:spacing w:before="206"/>
        <w:ind w:right="153"/>
        <w:rPr>
          <w:sz w:val="20"/>
          <w:szCs w:val="20"/>
        </w:rPr>
      </w:pPr>
      <w:r w:rsidRPr="00332102">
        <w:rPr>
          <w:sz w:val="20"/>
          <w:szCs w:val="20"/>
        </w:rPr>
        <w:t>Ravensbury Community School recognises its duty to comply with the Health &amp; Safety (Display Screen Equipment) Regulations 1992 amended (2002), which includes provision for eye tests and glasses required specifically for use with Display Screen Equipment</w:t>
      </w:r>
      <w:r w:rsidRPr="00332102">
        <w:rPr>
          <w:spacing w:val="-4"/>
          <w:sz w:val="20"/>
          <w:szCs w:val="20"/>
        </w:rPr>
        <w:t xml:space="preserve"> </w:t>
      </w:r>
      <w:r w:rsidRPr="00332102">
        <w:rPr>
          <w:sz w:val="20"/>
          <w:szCs w:val="20"/>
        </w:rPr>
        <w:t>(DSE).</w:t>
      </w:r>
    </w:p>
    <w:p w:rsidR="00763D0F" w:rsidRPr="00332102" w:rsidRDefault="00763D0F">
      <w:pPr>
        <w:pStyle w:val="BodyText"/>
        <w:spacing w:before="1"/>
        <w:rPr>
          <w:sz w:val="20"/>
          <w:szCs w:val="20"/>
        </w:rPr>
      </w:pPr>
    </w:p>
    <w:p w:rsidR="00763D0F" w:rsidRPr="00332102" w:rsidRDefault="008B38F2">
      <w:pPr>
        <w:pStyle w:val="ListParagraph"/>
        <w:numPr>
          <w:ilvl w:val="0"/>
          <w:numId w:val="1"/>
        </w:numPr>
        <w:tabs>
          <w:tab w:val="left" w:pos="839"/>
        </w:tabs>
        <w:ind w:right="239"/>
        <w:rPr>
          <w:sz w:val="20"/>
          <w:szCs w:val="20"/>
        </w:rPr>
      </w:pPr>
      <w:r w:rsidRPr="00332102">
        <w:rPr>
          <w:sz w:val="20"/>
          <w:szCs w:val="20"/>
        </w:rPr>
        <w:t>‘There is no reliable evidence that work with display screen equipment causes any permanent damage to eyes or eyesight, but it may make users with pre-existing vision defects more aware of them. This may give some users some temporary visual fatigue or headaches. Uncorrected vision defects can make work at display screens more tiring or stressful than it should be, and correcting defects can improve comfort, job satisfaction and performance’ (Health and Safety Executive, HSE Guidance Notes on DSE R</w:t>
      </w:r>
      <w:bookmarkStart w:id="0" w:name="_GoBack"/>
      <w:bookmarkEnd w:id="0"/>
      <w:r w:rsidRPr="00332102">
        <w:rPr>
          <w:sz w:val="20"/>
          <w:szCs w:val="20"/>
        </w:rPr>
        <w:t>egulations 1992, (Amended</w:t>
      </w:r>
      <w:r w:rsidRPr="00332102">
        <w:rPr>
          <w:spacing w:val="-6"/>
          <w:sz w:val="20"/>
          <w:szCs w:val="20"/>
        </w:rPr>
        <w:t xml:space="preserve"> </w:t>
      </w:r>
      <w:r w:rsidRPr="00332102">
        <w:rPr>
          <w:sz w:val="20"/>
          <w:szCs w:val="20"/>
        </w:rPr>
        <w:t>2002).</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146"/>
        <w:rPr>
          <w:sz w:val="20"/>
          <w:szCs w:val="20"/>
        </w:rPr>
      </w:pPr>
      <w:r w:rsidRPr="00332102">
        <w:rPr>
          <w:sz w:val="20"/>
          <w:szCs w:val="20"/>
        </w:rPr>
        <w:t>Staff identified as ‘users’, as defined by the Health and Safety (Display Screen Equipment – DSE) Regulations1992, are entitled to free eye tests annually (or more frequently as determined necessary by the Optician) at their employer’s expense. A user is defined in the regulations as “an employee who habitually uses display screen equipment as a significant part of his/her normal work”. It is the responsibility of the Headteacher to identify users within their School and inform them of this</w:t>
      </w:r>
      <w:r w:rsidRPr="00332102">
        <w:rPr>
          <w:spacing w:val="-5"/>
          <w:sz w:val="20"/>
          <w:szCs w:val="20"/>
        </w:rPr>
        <w:t xml:space="preserve"> </w:t>
      </w:r>
      <w:r w:rsidRPr="00332102">
        <w:rPr>
          <w:sz w:val="20"/>
          <w:szCs w:val="20"/>
        </w:rPr>
        <w:t>policy.</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205"/>
        <w:rPr>
          <w:sz w:val="20"/>
          <w:szCs w:val="20"/>
        </w:rPr>
      </w:pPr>
      <w:r w:rsidRPr="00332102">
        <w:rPr>
          <w:sz w:val="20"/>
          <w:szCs w:val="20"/>
        </w:rPr>
        <w:t xml:space="preserve">A contribution of £50 towards prescription lenses (glasses or contact) and a contribution of £25 towards frames will be paid in accordance with the table below to those staff whose Optician has confirmed they require lenses (glasses or contact) </w:t>
      </w:r>
      <w:r w:rsidRPr="00332102">
        <w:rPr>
          <w:b/>
          <w:sz w:val="20"/>
          <w:szCs w:val="20"/>
          <w:u w:val="thick"/>
        </w:rPr>
        <w:t xml:space="preserve">specifically </w:t>
      </w:r>
      <w:r w:rsidRPr="00332102">
        <w:rPr>
          <w:sz w:val="20"/>
          <w:szCs w:val="20"/>
        </w:rPr>
        <w:t>for DSE use. Lenses specifically prescribed for DSE use correct vision defects at the viewing distance or distances used specifically for the DSE work concerned. In addition, the employee must be defined as a ‘user’ by the Health and Safety (DSE) Regulations and confirmed by their Headteacher to use display screen equipment (DSE) as an essential part of their work and for a significant part of their normal working hours. Contributions towards lenses and frames will not be paid to those who require glasses for any other purpose as per the Health and Safety (DSE)</w:t>
      </w:r>
      <w:r w:rsidRPr="00332102">
        <w:rPr>
          <w:spacing w:val="-18"/>
          <w:sz w:val="20"/>
          <w:szCs w:val="20"/>
        </w:rPr>
        <w:t xml:space="preserve"> </w:t>
      </w:r>
      <w:r w:rsidRPr="00332102">
        <w:rPr>
          <w:sz w:val="20"/>
          <w:szCs w:val="20"/>
        </w:rPr>
        <w:t>Regulations.</w:t>
      </w:r>
    </w:p>
    <w:p w:rsidR="00763D0F" w:rsidRPr="00332102" w:rsidRDefault="00763D0F">
      <w:pPr>
        <w:pStyle w:val="BodyText"/>
        <w:spacing w:before="9"/>
        <w:rPr>
          <w:sz w:val="20"/>
          <w:szCs w:val="20"/>
        </w:rPr>
      </w:pPr>
    </w:p>
    <w:p w:rsidR="00763D0F" w:rsidRPr="00332102" w:rsidRDefault="008B38F2">
      <w:pPr>
        <w:pStyle w:val="ListParagraph"/>
        <w:numPr>
          <w:ilvl w:val="0"/>
          <w:numId w:val="1"/>
        </w:numPr>
        <w:tabs>
          <w:tab w:val="left" w:pos="839"/>
        </w:tabs>
        <w:rPr>
          <w:sz w:val="20"/>
          <w:szCs w:val="20"/>
        </w:rPr>
      </w:pPr>
      <w:r w:rsidRPr="00332102">
        <w:rPr>
          <w:sz w:val="20"/>
          <w:szCs w:val="20"/>
        </w:rPr>
        <w:t>Summary of contribution</w:t>
      </w:r>
      <w:r w:rsidRPr="00332102">
        <w:rPr>
          <w:spacing w:val="-12"/>
          <w:sz w:val="20"/>
          <w:szCs w:val="20"/>
        </w:rPr>
        <w:t xml:space="preserve"> </w:t>
      </w:r>
      <w:r w:rsidRPr="00332102">
        <w:rPr>
          <w:sz w:val="20"/>
          <w:szCs w:val="20"/>
        </w:rPr>
        <w:t>limits:</w:t>
      </w:r>
    </w:p>
    <w:p w:rsidR="00763D0F" w:rsidRPr="00332102" w:rsidRDefault="00763D0F">
      <w:pPr>
        <w:pStyle w:val="BodyText"/>
        <w:spacing w:before="2"/>
        <w:rPr>
          <w:sz w:val="20"/>
          <w:szCs w:val="20"/>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957"/>
        <w:gridCol w:w="4100"/>
      </w:tblGrid>
      <w:tr w:rsidR="00763D0F" w:rsidRPr="00332102">
        <w:trPr>
          <w:trHeight w:hRule="exact" w:val="265"/>
        </w:trPr>
        <w:tc>
          <w:tcPr>
            <w:tcW w:w="1164" w:type="dxa"/>
          </w:tcPr>
          <w:p w:rsidR="00763D0F" w:rsidRPr="00332102" w:rsidRDefault="00763D0F">
            <w:pPr>
              <w:rPr>
                <w:sz w:val="20"/>
                <w:szCs w:val="20"/>
              </w:rPr>
            </w:pPr>
          </w:p>
        </w:tc>
        <w:tc>
          <w:tcPr>
            <w:tcW w:w="1957" w:type="dxa"/>
          </w:tcPr>
          <w:p w:rsidR="00763D0F" w:rsidRPr="00332102" w:rsidRDefault="008B38F2">
            <w:pPr>
              <w:pStyle w:val="TableParagraph"/>
              <w:spacing w:line="249" w:lineRule="exact"/>
              <w:ind w:left="100"/>
              <w:rPr>
                <w:b/>
                <w:sz w:val="20"/>
                <w:szCs w:val="20"/>
              </w:rPr>
            </w:pPr>
            <w:r w:rsidRPr="00332102">
              <w:rPr>
                <w:b/>
                <w:sz w:val="20"/>
                <w:szCs w:val="20"/>
              </w:rPr>
              <w:t>Amount</w:t>
            </w:r>
          </w:p>
        </w:tc>
        <w:tc>
          <w:tcPr>
            <w:tcW w:w="4100" w:type="dxa"/>
          </w:tcPr>
          <w:p w:rsidR="00763D0F" w:rsidRPr="00332102" w:rsidRDefault="008B38F2">
            <w:pPr>
              <w:pStyle w:val="TableParagraph"/>
              <w:spacing w:line="249" w:lineRule="exact"/>
              <w:ind w:left="103" w:right="200"/>
              <w:rPr>
                <w:b/>
                <w:sz w:val="20"/>
                <w:szCs w:val="20"/>
              </w:rPr>
            </w:pPr>
            <w:r w:rsidRPr="00332102">
              <w:rPr>
                <w:b/>
                <w:sz w:val="20"/>
                <w:szCs w:val="20"/>
              </w:rPr>
              <w:t>Frequency of Claims</w:t>
            </w:r>
          </w:p>
        </w:tc>
      </w:tr>
      <w:tr w:rsidR="00763D0F" w:rsidRPr="00332102">
        <w:trPr>
          <w:trHeight w:hRule="exact" w:val="516"/>
        </w:trPr>
        <w:tc>
          <w:tcPr>
            <w:tcW w:w="1164" w:type="dxa"/>
          </w:tcPr>
          <w:p w:rsidR="00763D0F" w:rsidRPr="00332102" w:rsidRDefault="008B38F2">
            <w:pPr>
              <w:pStyle w:val="TableParagraph"/>
              <w:spacing w:line="251" w:lineRule="exact"/>
              <w:ind w:left="103"/>
              <w:rPr>
                <w:sz w:val="20"/>
                <w:szCs w:val="20"/>
              </w:rPr>
            </w:pPr>
            <w:r w:rsidRPr="00332102">
              <w:rPr>
                <w:sz w:val="20"/>
                <w:szCs w:val="20"/>
              </w:rPr>
              <w:t>Eye Test</w:t>
            </w:r>
          </w:p>
        </w:tc>
        <w:tc>
          <w:tcPr>
            <w:tcW w:w="1957" w:type="dxa"/>
          </w:tcPr>
          <w:p w:rsidR="00763D0F" w:rsidRPr="00332102" w:rsidRDefault="008B38F2">
            <w:pPr>
              <w:pStyle w:val="TableParagraph"/>
              <w:spacing w:line="251" w:lineRule="exact"/>
              <w:ind w:left="100"/>
              <w:rPr>
                <w:sz w:val="20"/>
                <w:szCs w:val="20"/>
              </w:rPr>
            </w:pPr>
            <w:r w:rsidRPr="00332102">
              <w:rPr>
                <w:sz w:val="20"/>
                <w:szCs w:val="20"/>
              </w:rPr>
              <w:t>Full Cost</w:t>
            </w:r>
          </w:p>
        </w:tc>
        <w:tc>
          <w:tcPr>
            <w:tcW w:w="4100" w:type="dxa"/>
          </w:tcPr>
          <w:p w:rsidR="00763D0F" w:rsidRPr="00332102" w:rsidRDefault="008B38F2">
            <w:pPr>
              <w:pStyle w:val="TableParagraph"/>
              <w:spacing w:before="2" w:line="252" w:lineRule="exact"/>
              <w:ind w:left="103" w:right="200"/>
              <w:rPr>
                <w:sz w:val="20"/>
                <w:szCs w:val="20"/>
              </w:rPr>
            </w:pPr>
            <w:r w:rsidRPr="00332102">
              <w:rPr>
                <w:sz w:val="20"/>
                <w:szCs w:val="20"/>
              </w:rPr>
              <w:t>1 year (or more frequently as determined necessary by the Optician)</w:t>
            </w:r>
          </w:p>
        </w:tc>
      </w:tr>
      <w:tr w:rsidR="00763D0F" w:rsidRPr="00332102">
        <w:trPr>
          <w:trHeight w:hRule="exact" w:val="262"/>
        </w:trPr>
        <w:tc>
          <w:tcPr>
            <w:tcW w:w="1164" w:type="dxa"/>
          </w:tcPr>
          <w:p w:rsidR="00763D0F" w:rsidRPr="00332102" w:rsidRDefault="008B38F2">
            <w:pPr>
              <w:pStyle w:val="TableParagraph"/>
              <w:spacing w:line="251" w:lineRule="exact"/>
              <w:ind w:left="103"/>
              <w:rPr>
                <w:sz w:val="20"/>
                <w:szCs w:val="20"/>
              </w:rPr>
            </w:pPr>
            <w:r w:rsidRPr="00332102">
              <w:rPr>
                <w:sz w:val="20"/>
                <w:szCs w:val="20"/>
              </w:rPr>
              <w:t>Lenses</w:t>
            </w:r>
          </w:p>
        </w:tc>
        <w:tc>
          <w:tcPr>
            <w:tcW w:w="1957" w:type="dxa"/>
          </w:tcPr>
          <w:p w:rsidR="00763D0F" w:rsidRPr="00332102" w:rsidRDefault="008B38F2">
            <w:pPr>
              <w:pStyle w:val="TableParagraph"/>
              <w:spacing w:line="251" w:lineRule="exact"/>
              <w:ind w:left="100"/>
              <w:rPr>
                <w:sz w:val="20"/>
                <w:szCs w:val="20"/>
              </w:rPr>
            </w:pPr>
            <w:r w:rsidRPr="00332102">
              <w:rPr>
                <w:sz w:val="20"/>
                <w:szCs w:val="20"/>
              </w:rPr>
              <w:t>£50.00</w:t>
            </w:r>
          </w:p>
        </w:tc>
        <w:tc>
          <w:tcPr>
            <w:tcW w:w="4100" w:type="dxa"/>
          </w:tcPr>
          <w:p w:rsidR="00763D0F" w:rsidRPr="00332102" w:rsidRDefault="008B38F2">
            <w:pPr>
              <w:pStyle w:val="TableParagraph"/>
              <w:spacing w:line="251" w:lineRule="exact"/>
              <w:ind w:left="103" w:right="200"/>
              <w:rPr>
                <w:sz w:val="20"/>
                <w:szCs w:val="20"/>
              </w:rPr>
            </w:pPr>
            <w:r w:rsidRPr="00332102">
              <w:rPr>
                <w:sz w:val="20"/>
                <w:szCs w:val="20"/>
              </w:rPr>
              <w:t>1 year</w:t>
            </w:r>
          </w:p>
        </w:tc>
      </w:tr>
      <w:tr w:rsidR="00763D0F" w:rsidRPr="00332102">
        <w:trPr>
          <w:trHeight w:hRule="exact" w:val="264"/>
        </w:trPr>
        <w:tc>
          <w:tcPr>
            <w:tcW w:w="1164" w:type="dxa"/>
          </w:tcPr>
          <w:p w:rsidR="00763D0F" w:rsidRPr="00332102" w:rsidRDefault="008B38F2">
            <w:pPr>
              <w:pStyle w:val="TableParagraph"/>
              <w:spacing w:line="251" w:lineRule="exact"/>
              <w:ind w:left="103"/>
              <w:rPr>
                <w:sz w:val="20"/>
                <w:szCs w:val="20"/>
              </w:rPr>
            </w:pPr>
            <w:r w:rsidRPr="00332102">
              <w:rPr>
                <w:sz w:val="20"/>
                <w:szCs w:val="20"/>
              </w:rPr>
              <w:t>Frames</w:t>
            </w:r>
          </w:p>
        </w:tc>
        <w:tc>
          <w:tcPr>
            <w:tcW w:w="1957" w:type="dxa"/>
          </w:tcPr>
          <w:p w:rsidR="00763D0F" w:rsidRPr="00332102" w:rsidRDefault="008B38F2">
            <w:pPr>
              <w:pStyle w:val="TableParagraph"/>
              <w:spacing w:line="251" w:lineRule="exact"/>
              <w:ind w:left="100"/>
              <w:rPr>
                <w:sz w:val="20"/>
                <w:szCs w:val="20"/>
              </w:rPr>
            </w:pPr>
            <w:r w:rsidRPr="00332102">
              <w:rPr>
                <w:sz w:val="20"/>
                <w:szCs w:val="20"/>
              </w:rPr>
              <w:t>£25.00</w:t>
            </w:r>
          </w:p>
        </w:tc>
        <w:tc>
          <w:tcPr>
            <w:tcW w:w="4100" w:type="dxa"/>
          </w:tcPr>
          <w:p w:rsidR="00763D0F" w:rsidRPr="00332102" w:rsidRDefault="008B38F2">
            <w:pPr>
              <w:pStyle w:val="TableParagraph"/>
              <w:spacing w:line="251" w:lineRule="exact"/>
              <w:ind w:left="103" w:right="200"/>
              <w:rPr>
                <w:sz w:val="20"/>
                <w:szCs w:val="20"/>
              </w:rPr>
            </w:pPr>
            <w:r w:rsidRPr="00332102">
              <w:rPr>
                <w:sz w:val="20"/>
                <w:szCs w:val="20"/>
              </w:rPr>
              <w:t>3 years</w:t>
            </w:r>
          </w:p>
        </w:tc>
      </w:tr>
    </w:tbl>
    <w:p w:rsidR="00763D0F" w:rsidRPr="00332102" w:rsidRDefault="00763D0F">
      <w:pPr>
        <w:pStyle w:val="BodyText"/>
        <w:rPr>
          <w:sz w:val="20"/>
          <w:szCs w:val="20"/>
        </w:rPr>
      </w:pPr>
    </w:p>
    <w:p w:rsidR="00763D0F" w:rsidRPr="00332102" w:rsidRDefault="00763D0F">
      <w:pPr>
        <w:pStyle w:val="BodyText"/>
        <w:spacing w:before="5"/>
        <w:rPr>
          <w:sz w:val="20"/>
          <w:szCs w:val="20"/>
        </w:rPr>
      </w:pPr>
    </w:p>
    <w:p w:rsidR="00763D0F" w:rsidRPr="00332102" w:rsidRDefault="008B38F2">
      <w:pPr>
        <w:pStyle w:val="ListParagraph"/>
        <w:numPr>
          <w:ilvl w:val="0"/>
          <w:numId w:val="1"/>
        </w:numPr>
        <w:tabs>
          <w:tab w:val="left" w:pos="839"/>
        </w:tabs>
        <w:spacing w:before="73"/>
        <w:ind w:right="660"/>
        <w:rPr>
          <w:sz w:val="20"/>
          <w:szCs w:val="20"/>
        </w:rPr>
      </w:pPr>
      <w:r w:rsidRPr="00332102">
        <w:rPr>
          <w:sz w:val="20"/>
          <w:szCs w:val="20"/>
        </w:rPr>
        <w:t>Employees will be responsible for the initial payment of their eye test and any costs incurred on lenses or</w:t>
      </w:r>
      <w:r w:rsidRPr="00332102">
        <w:rPr>
          <w:spacing w:val="-5"/>
          <w:sz w:val="20"/>
          <w:szCs w:val="20"/>
        </w:rPr>
        <w:t xml:space="preserve"> </w:t>
      </w:r>
      <w:r w:rsidRPr="00332102">
        <w:rPr>
          <w:sz w:val="20"/>
          <w:szCs w:val="20"/>
        </w:rPr>
        <w:t>frames.</w:t>
      </w:r>
    </w:p>
    <w:p w:rsidR="00763D0F" w:rsidRPr="00332102" w:rsidRDefault="00763D0F">
      <w:pPr>
        <w:rPr>
          <w:sz w:val="20"/>
          <w:szCs w:val="20"/>
        </w:rPr>
        <w:sectPr w:rsidR="00763D0F" w:rsidRPr="00332102">
          <w:footerReference w:type="default" r:id="rId8"/>
          <w:type w:val="continuous"/>
          <w:pgSz w:w="11910" w:h="16840"/>
          <w:pgMar w:top="840" w:right="1360" w:bottom="880" w:left="960" w:header="720" w:footer="693" w:gutter="0"/>
          <w:pgNumType w:start="1"/>
          <w:cols w:space="720"/>
        </w:sectPr>
      </w:pPr>
    </w:p>
    <w:p w:rsidR="00763D0F" w:rsidRPr="00332102" w:rsidRDefault="008B38F2">
      <w:pPr>
        <w:pStyle w:val="ListParagraph"/>
        <w:numPr>
          <w:ilvl w:val="0"/>
          <w:numId w:val="1"/>
        </w:numPr>
        <w:tabs>
          <w:tab w:val="left" w:pos="839"/>
        </w:tabs>
        <w:spacing w:before="51"/>
        <w:ind w:right="409"/>
        <w:rPr>
          <w:sz w:val="20"/>
          <w:szCs w:val="20"/>
        </w:rPr>
      </w:pPr>
      <w:r w:rsidRPr="00332102">
        <w:rPr>
          <w:sz w:val="20"/>
          <w:szCs w:val="20"/>
        </w:rPr>
        <w:lastRenderedPageBreak/>
        <w:t>To claim for reimbursement of eye test costs and / or contributions to lenses / frames employees are required to complete the eye test and glasses claim form.  Employees should take the eye test and glasses claim form along to their Optician appointment for the Optician to complete and authorise. Any receipts for costs incurred should be retained and attached to the form. The employee will be required to complete and sign the employee section and forward the form to their Headteacher / School Business Manager for</w:t>
      </w:r>
      <w:r w:rsidRPr="00332102">
        <w:rPr>
          <w:spacing w:val="-17"/>
          <w:sz w:val="20"/>
          <w:szCs w:val="20"/>
        </w:rPr>
        <w:t xml:space="preserve"> </w:t>
      </w:r>
      <w:r w:rsidRPr="00332102">
        <w:rPr>
          <w:sz w:val="20"/>
          <w:szCs w:val="20"/>
        </w:rPr>
        <w:t>authorisation.</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668"/>
        <w:rPr>
          <w:sz w:val="20"/>
          <w:szCs w:val="20"/>
        </w:rPr>
      </w:pPr>
      <w:r w:rsidRPr="00332102">
        <w:rPr>
          <w:sz w:val="20"/>
          <w:szCs w:val="20"/>
        </w:rPr>
        <w:t>The Headteacher will be required to confirm whether or not the claimant uses display screen equipment as an essential part of their work and for a significant part of their normal working</w:t>
      </w:r>
      <w:r w:rsidRPr="00332102">
        <w:rPr>
          <w:spacing w:val="-10"/>
          <w:sz w:val="20"/>
          <w:szCs w:val="20"/>
        </w:rPr>
        <w:t xml:space="preserve"> </w:t>
      </w:r>
      <w:r w:rsidRPr="00332102">
        <w:rPr>
          <w:sz w:val="20"/>
          <w:szCs w:val="20"/>
        </w:rPr>
        <w:t>hours.</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374"/>
        <w:rPr>
          <w:sz w:val="20"/>
          <w:szCs w:val="20"/>
        </w:rPr>
      </w:pPr>
      <w:r w:rsidRPr="00332102">
        <w:rPr>
          <w:sz w:val="20"/>
          <w:szCs w:val="20"/>
        </w:rPr>
        <w:t xml:space="preserve">Once the eye test and glasses claim form is fully completed and signed by the Optician, Employee and Headteacher, it should be forwarded to the School Business </w:t>
      </w:r>
      <w:r w:rsidR="007B6A9C" w:rsidRPr="00332102">
        <w:rPr>
          <w:sz w:val="20"/>
          <w:szCs w:val="20"/>
        </w:rPr>
        <w:t>Manager along</w:t>
      </w:r>
      <w:r w:rsidRPr="00332102">
        <w:rPr>
          <w:sz w:val="20"/>
          <w:szCs w:val="20"/>
        </w:rPr>
        <w:t xml:space="preserve"> with receipts of all costs incurred relating to the eye test/ frames/</w:t>
      </w:r>
      <w:r w:rsidRPr="00332102">
        <w:rPr>
          <w:spacing w:val="-22"/>
          <w:sz w:val="20"/>
          <w:szCs w:val="20"/>
        </w:rPr>
        <w:t xml:space="preserve"> </w:t>
      </w:r>
      <w:r w:rsidRPr="00332102">
        <w:rPr>
          <w:sz w:val="20"/>
          <w:szCs w:val="20"/>
        </w:rPr>
        <w:t>lenses.</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249"/>
        <w:rPr>
          <w:sz w:val="20"/>
          <w:szCs w:val="20"/>
        </w:rPr>
      </w:pPr>
      <w:r w:rsidRPr="00332102">
        <w:rPr>
          <w:sz w:val="20"/>
          <w:szCs w:val="20"/>
        </w:rPr>
        <w:t>If the claim is approved and the qualifying criteria relating to frequency of claims has been satisfied, the employee will be reimbursed for annual eye tests (or more frequent eye tests if deemed necessary by the Optician) and for lenses/frames in accordance with the stipulated contribution</w:t>
      </w:r>
      <w:r w:rsidRPr="00332102">
        <w:rPr>
          <w:spacing w:val="-15"/>
          <w:sz w:val="20"/>
          <w:szCs w:val="20"/>
        </w:rPr>
        <w:t xml:space="preserve"> </w:t>
      </w:r>
      <w:r w:rsidRPr="00332102">
        <w:rPr>
          <w:sz w:val="20"/>
          <w:szCs w:val="20"/>
        </w:rPr>
        <w:t>limits.</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504"/>
        <w:rPr>
          <w:sz w:val="20"/>
          <w:szCs w:val="20"/>
        </w:rPr>
      </w:pPr>
      <w:r w:rsidRPr="00332102">
        <w:rPr>
          <w:sz w:val="20"/>
          <w:szCs w:val="20"/>
        </w:rPr>
        <w:t>Once approved claims have been processed, cheques will be issued as per the stated contribution limits along with a receipt detailing a breakdown of the reimbursed</w:t>
      </w:r>
      <w:r w:rsidRPr="00332102">
        <w:rPr>
          <w:spacing w:val="-29"/>
          <w:sz w:val="20"/>
          <w:szCs w:val="20"/>
        </w:rPr>
        <w:t xml:space="preserve"> </w:t>
      </w:r>
      <w:r w:rsidRPr="00332102">
        <w:rPr>
          <w:sz w:val="20"/>
          <w:szCs w:val="20"/>
        </w:rPr>
        <w:t>claim.</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340"/>
        <w:rPr>
          <w:sz w:val="20"/>
          <w:szCs w:val="20"/>
        </w:rPr>
      </w:pPr>
      <w:r w:rsidRPr="00332102">
        <w:rPr>
          <w:sz w:val="20"/>
          <w:szCs w:val="20"/>
        </w:rPr>
        <w:t>If claim(s) for eye test, lenses and / or frames could not be processed, the employee will be notified of the</w:t>
      </w:r>
      <w:r w:rsidRPr="00332102">
        <w:rPr>
          <w:spacing w:val="-7"/>
          <w:sz w:val="20"/>
          <w:szCs w:val="20"/>
        </w:rPr>
        <w:t xml:space="preserve"> </w:t>
      </w:r>
      <w:r w:rsidRPr="00332102">
        <w:rPr>
          <w:sz w:val="20"/>
          <w:szCs w:val="20"/>
        </w:rPr>
        <w:t>reasons.</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rPr>
          <w:sz w:val="20"/>
          <w:szCs w:val="20"/>
        </w:rPr>
      </w:pPr>
      <w:r w:rsidRPr="00332102">
        <w:rPr>
          <w:sz w:val="20"/>
          <w:szCs w:val="20"/>
        </w:rPr>
        <w:t>It is not school’s policy to reimburse Optician form filling</w:t>
      </w:r>
      <w:r w:rsidRPr="00332102">
        <w:rPr>
          <w:spacing w:val="-23"/>
          <w:sz w:val="20"/>
          <w:szCs w:val="20"/>
        </w:rPr>
        <w:t xml:space="preserve"> </w:t>
      </w:r>
      <w:r w:rsidRPr="00332102">
        <w:rPr>
          <w:sz w:val="20"/>
          <w:szCs w:val="20"/>
        </w:rPr>
        <w:t>fees.</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rPr>
          <w:sz w:val="20"/>
          <w:szCs w:val="20"/>
        </w:rPr>
      </w:pPr>
      <w:r w:rsidRPr="00332102">
        <w:rPr>
          <w:sz w:val="20"/>
          <w:szCs w:val="20"/>
        </w:rPr>
        <w:t>No contribution will be paid in the form of an</w:t>
      </w:r>
      <w:r w:rsidRPr="00332102">
        <w:rPr>
          <w:spacing w:val="-15"/>
          <w:sz w:val="20"/>
          <w:szCs w:val="20"/>
        </w:rPr>
        <w:t xml:space="preserve"> </w:t>
      </w:r>
      <w:r w:rsidRPr="00332102">
        <w:rPr>
          <w:sz w:val="20"/>
          <w:szCs w:val="20"/>
        </w:rPr>
        <w:t>advance.</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ind w:right="309"/>
        <w:rPr>
          <w:sz w:val="20"/>
          <w:szCs w:val="20"/>
        </w:rPr>
      </w:pPr>
      <w:r w:rsidRPr="00332102">
        <w:rPr>
          <w:sz w:val="20"/>
          <w:szCs w:val="20"/>
        </w:rPr>
        <w:t>Where discount is obtained against any individual component, only the discounted value will be considered as an actual</w:t>
      </w:r>
      <w:r w:rsidRPr="00332102">
        <w:rPr>
          <w:spacing w:val="-7"/>
          <w:sz w:val="20"/>
          <w:szCs w:val="20"/>
        </w:rPr>
        <w:t xml:space="preserve"> </w:t>
      </w:r>
      <w:r w:rsidRPr="00332102">
        <w:rPr>
          <w:sz w:val="20"/>
          <w:szCs w:val="20"/>
        </w:rPr>
        <w:t>expense.</w:t>
      </w:r>
    </w:p>
    <w:p w:rsidR="00763D0F" w:rsidRPr="00332102" w:rsidRDefault="00763D0F">
      <w:pPr>
        <w:pStyle w:val="BodyText"/>
        <w:rPr>
          <w:sz w:val="20"/>
          <w:szCs w:val="20"/>
        </w:rPr>
      </w:pPr>
    </w:p>
    <w:p w:rsidR="00763D0F" w:rsidRPr="00332102" w:rsidRDefault="008B38F2">
      <w:pPr>
        <w:pStyle w:val="ListParagraph"/>
        <w:numPr>
          <w:ilvl w:val="0"/>
          <w:numId w:val="1"/>
        </w:numPr>
        <w:tabs>
          <w:tab w:val="left" w:pos="839"/>
        </w:tabs>
        <w:spacing w:before="1"/>
        <w:ind w:right="1000"/>
        <w:rPr>
          <w:sz w:val="20"/>
          <w:szCs w:val="20"/>
        </w:rPr>
      </w:pPr>
      <w:r w:rsidRPr="00332102">
        <w:rPr>
          <w:sz w:val="20"/>
          <w:szCs w:val="20"/>
        </w:rPr>
        <w:t>This policy will be reviewed on an annual basis in accordance with any legislative changes.</w:t>
      </w:r>
    </w:p>
    <w:p w:rsidR="00763D0F" w:rsidRPr="00332102" w:rsidRDefault="00763D0F">
      <w:pPr>
        <w:pStyle w:val="BodyText"/>
        <w:rPr>
          <w:sz w:val="20"/>
          <w:szCs w:val="20"/>
        </w:rPr>
      </w:pPr>
    </w:p>
    <w:p w:rsidR="00763D0F" w:rsidRPr="00332102" w:rsidRDefault="00763D0F">
      <w:pPr>
        <w:pStyle w:val="BodyText"/>
        <w:rPr>
          <w:sz w:val="20"/>
          <w:szCs w:val="20"/>
        </w:rPr>
      </w:pPr>
    </w:p>
    <w:p w:rsidR="00763D0F" w:rsidRPr="00332102" w:rsidRDefault="00763D0F">
      <w:pPr>
        <w:pStyle w:val="BodyText"/>
        <w:rPr>
          <w:sz w:val="20"/>
          <w:szCs w:val="20"/>
        </w:rPr>
      </w:pPr>
    </w:p>
    <w:p w:rsidR="00763D0F" w:rsidRPr="00332102" w:rsidRDefault="00763D0F">
      <w:pPr>
        <w:pStyle w:val="BodyText"/>
        <w:rPr>
          <w:sz w:val="20"/>
          <w:szCs w:val="20"/>
        </w:rPr>
      </w:pPr>
    </w:p>
    <w:p w:rsidR="00D26A4F" w:rsidRDefault="00D26A4F"/>
    <w:sectPr w:rsidR="00D26A4F" w:rsidSect="00763D0F">
      <w:pgSz w:w="11910" w:h="16840"/>
      <w:pgMar w:top="780" w:right="1220" w:bottom="880" w:left="96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0F" w:rsidRDefault="00763D0F" w:rsidP="00763D0F">
      <w:r>
        <w:separator/>
      </w:r>
    </w:p>
  </w:endnote>
  <w:endnote w:type="continuationSeparator" w:id="0">
    <w:p w:rsidR="00763D0F" w:rsidRDefault="00763D0F" w:rsidP="0076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0F" w:rsidRDefault="00332102">
    <w:pPr>
      <w:pStyle w:val="BodyText"/>
      <w:spacing w:line="14" w:lineRule="auto"/>
      <w:rPr>
        <w:sz w:val="20"/>
      </w:rPr>
    </w:pPr>
    <w:r>
      <w:rPr>
        <w:noProof/>
        <w:lang w:val="en-GB" w:eastAsia="en-GB"/>
      </w:rPr>
      <mc:AlternateContent>
        <mc:Choice Requires="wps">
          <w:drawing>
            <wp:anchor distT="0" distB="0" distL="114300" distR="114300" simplePos="0" relativeHeight="503311088" behindDoc="1" locked="0" layoutInCell="1" allowOverlap="1">
              <wp:simplePos x="0" y="0"/>
              <wp:positionH relativeFrom="page">
                <wp:posOffset>676275</wp:posOffset>
              </wp:positionH>
              <wp:positionV relativeFrom="page">
                <wp:posOffset>10115550</wp:posOffset>
              </wp:positionV>
              <wp:extent cx="2527300" cy="276225"/>
              <wp:effectExtent l="0" t="0" r="635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D0F" w:rsidRDefault="008B38F2">
                          <w:pPr>
                            <w:spacing w:line="204" w:lineRule="exact"/>
                            <w:ind w:left="20" w:right="-2"/>
                            <w:rPr>
                              <w:sz w:val="18"/>
                            </w:rPr>
                          </w:pPr>
                          <w:r>
                            <w:rPr>
                              <w:sz w:val="18"/>
                            </w:rPr>
                            <w:t xml:space="preserve">Agreed by Governors on </w:t>
                          </w:r>
                          <w:r w:rsidR="007B6A9C">
                            <w:rPr>
                              <w:sz w:val="18"/>
                            </w:rPr>
                            <w:t>14.11.2022</w:t>
                          </w:r>
                          <w:r w:rsidR="00412E2A">
                            <w:rPr>
                              <w:sz w:val="18"/>
                            </w:rPr>
                            <w:tab/>
                          </w:r>
                        </w:p>
                        <w:p w:rsidR="007975F9" w:rsidRDefault="007975F9">
                          <w:pPr>
                            <w:spacing w:line="204" w:lineRule="exact"/>
                            <w:ind w:left="20" w:right="-2"/>
                            <w:rPr>
                              <w:sz w:val="18"/>
                            </w:rPr>
                          </w:pPr>
                          <w:r>
                            <w:rPr>
                              <w:sz w:val="18"/>
                            </w:rPr>
                            <w:t>Review Date:  November 20</w:t>
                          </w:r>
                          <w:r w:rsidR="00412E2A">
                            <w:rPr>
                              <w:sz w:val="18"/>
                            </w:rPr>
                            <w:t>2</w:t>
                          </w:r>
                          <w:r w:rsidR="007B6A9C">
                            <w:rPr>
                              <w:sz w:val="18"/>
                            </w:rPr>
                            <w:t>5</w:t>
                          </w:r>
                        </w:p>
                        <w:p w:rsidR="007975F9" w:rsidRDefault="007975F9">
                          <w:pPr>
                            <w:spacing w:line="204" w:lineRule="exact"/>
                            <w:ind w:left="20" w:right="-2"/>
                            <w:rPr>
                              <w:sz w:val="18"/>
                            </w:rPr>
                          </w:pPr>
                          <w:r>
                            <w:rPr>
                              <w:sz w:val="18"/>
                            </w:rPr>
                            <w:t xml:space="preserve">Review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3.25pt;margin-top:796.5pt;width:199pt;height:21.75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f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" filled="f" stroked="f">
              <v:textbox inset="0,0,0,0">
                <w:txbxContent>
                  <w:p w:rsidR="00763D0F" w:rsidRDefault="008B38F2">
                    <w:pPr>
                      <w:spacing w:line="204" w:lineRule="exact"/>
                      <w:ind w:left="20" w:right="-2"/>
                      <w:rPr>
                        <w:sz w:val="18"/>
                      </w:rPr>
                    </w:pPr>
                    <w:r>
                      <w:rPr>
                        <w:sz w:val="18"/>
                      </w:rPr>
                      <w:t xml:space="preserve">Agreed by Governors on </w:t>
                    </w:r>
                    <w:r w:rsidR="007B6A9C">
                      <w:rPr>
                        <w:sz w:val="18"/>
                      </w:rPr>
                      <w:t>14.11.2022</w:t>
                    </w:r>
                    <w:r w:rsidR="00412E2A">
                      <w:rPr>
                        <w:sz w:val="18"/>
                      </w:rPr>
                      <w:tab/>
                    </w:r>
                  </w:p>
                  <w:p w:rsidR="007975F9" w:rsidRDefault="007975F9">
                    <w:pPr>
                      <w:spacing w:line="204" w:lineRule="exact"/>
                      <w:ind w:left="20" w:right="-2"/>
                      <w:rPr>
                        <w:sz w:val="18"/>
                      </w:rPr>
                    </w:pPr>
                    <w:r>
                      <w:rPr>
                        <w:sz w:val="18"/>
                      </w:rPr>
                      <w:t>Review Date:  November 20</w:t>
                    </w:r>
                    <w:r w:rsidR="00412E2A">
                      <w:rPr>
                        <w:sz w:val="18"/>
                      </w:rPr>
                      <w:t>2</w:t>
                    </w:r>
                    <w:r w:rsidR="007B6A9C">
                      <w:rPr>
                        <w:sz w:val="18"/>
                      </w:rPr>
                      <w:t>5</w:t>
                    </w:r>
                  </w:p>
                  <w:p w:rsidR="007975F9" w:rsidRDefault="007975F9">
                    <w:pPr>
                      <w:spacing w:line="204" w:lineRule="exact"/>
                      <w:ind w:left="20" w:right="-2"/>
                      <w:rPr>
                        <w:sz w:val="18"/>
                      </w:rPr>
                    </w:pPr>
                    <w:r>
                      <w:rPr>
                        <w:sz w:val="18"/>
                      </w:rPr>
                      <w:t xml:space="preserve">Review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1112" behindDoc="1" locked="0" layoutInCell="1" allowOverlap="1">
              <wp:simplePos x="0" y="0"/>
              <wp:positionH relativeFrom="page">
                <wp:posOffset>6250940</wp:posOffset>
              </wp:positionH>
              <wp:positionV relativeFrom="page">
                <wp:posOffset>10113010</wp:posOffset>
              </wp:positionV>
              <wp:extent cx="401955" cy="1397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D0F" w:rsidRDefault="008B38F2">
                          <w:pPr>
                            <w:spacing w:line="204" w:lineRule="exact"/>
                            <w:ind w:left="20"/>
                            <w:rPr>
                              <w:sz w:val="18"/>
                            </w:rPr>
                          </w:pPr>
                          <w:r>
                            <w:rPr>
                              <w:sz w:val="18"/>
                            </w:rPr>
                            <w:t xml:space="preserve">Page </w:t>
                          </w:r>
                          <w:r w:rsidR="00681FF3">
                            <w:fldChar w:fldCharType="begin"/>
                          </w:r>
                          <w:r>
                            <w:rPr>
                              <w:sz w:val="18"/>
                            </w:rPr>
                            <w:instrText xml:space="preserve"> PAGE </w:instrText>
                          </w:r>
                          <w:r w:rsidR="00681FF3">
                            <w:fldChar w:fldCharType="separate"/>
                          </w:r>
                          <w:r w:rsidR="00A31051">
                            <w:rPr>
                              <w:noProof/>
                              <w:sz w:val="18"/>
                            </w:rPr>
                            <w:t>2</w:t>
                          </w:r>
                          <w:r w:rsidR="00681FF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2.2pt;margin-top:796.3pt;width:31.65pt;height:11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" filled="f" stroked="f">
              <v:textbox inset="0,0,0,0">
                <w:txbxContent>
                  <w:p w:rsidR="00763D0F" w:rsidRDefault="008B38F2">
                    <w:pPr>
                      <w:spacing w:line="204" w:lineRule="exact"/>
                      <w:ind w:left="20"/>
                      <w:rPr>
                        <w:sz w:val="18"/>
                      </w:rPr>
                    </w:pPr>
                    <w:r>
                      <w:rPr>
                        <w:sz w:val="18"/>
                      </w:rPr>
                      <w:t xml:space="preserve">Page </w:t>
                    </w:r>
                    <w:r w:rsidR="00681FF3">
                      <w:fldChar w:fldCharType="begin"/>
                    </w:r>
                    <w:r>
                      <w:rPr>
                        <w:sz w:val="18"/>
                      </w:rPr>
                      <w:instrText xml:space="preserve"> PAGE </w:instrText>
                    </w:r>
                    <w:r w:rsidR="00681FF3">
                      <w:fldChar w:fldCharType="separate"/>
                    </w:r>
                    <w:r w:rsidR="00A31051">
                      <w:rPr>
                        <w:noProof/>
                        <w:sz w:val="18"/>
                      </w:rPr>
                      <w:t>2</w:t>
                    </w:r>
                    <w:r w:rsidR="00681FF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0F" w:rsidRDefault="00763D0F" w:rsidP="00763D0F">
      <w:r>
        <w:separator/>
      </w:r>
    </w:p>
  </w:footnote>
  <w:footnote w:type="continuationSeparator" w:id="0">
    <w:p w:rsidR="00763D0F" w:rsidRDefault="00763D0F" w:rsidP="0076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96E"/>
    <w:multiLevelType w:val="hybridMultilevel"/>
    <w:tmpl w:val="E9260DC0"/>
    <w:lvl w:ilvl="0" w:tplc="FD4275C0">
      <w:start w:val="1"/>
      <w:numFmt w:val="decimal"/>
      <w:lvlText w:val="%1."/>
      <w:lvlJc w:val="left"/>
      <w:pPr>
        <w:ind w:left="838" w:hanging="360"/>
        <w:jc w:val="left"/>
      </w:pPr>
      <w:rPr>
        <w:rFonts w:ascii="Arial" w:eastAsia="Arial" w:hAnsi="Arial" w:cs="Arial" w:hint="default"/>
        <w:spacing w:val="-1"/>
        <w:w w:val="100"/>
        <w:sz w:val="22"/>
        <w:szCs w:val="22"/>
      </w:rPr>
    </w:lvl>
    <w:lvl w:ilvl="1" w:tplc="CA3A8980">
      <w:start w:val="1"/>
      <w:numFmt w:val="bullet"/>
      <w:lvlText w:val="•"/>
      <w:lvlJc w:val="left"/>
      <w:pPr>
        <w:ind w:left="1714" w:hanging="360"/>
      </w:pPr>
      <w:rPr>
        <w:rFonts w:hint="default"/>
      </w:rPr>
    </w:lvl>
    <w:lvl w:ilvl="2" w:tplc="6F44F91C">
      <w:start w:val="1"/>
      <w:numFmt w:val="bullet"/>
      <w:lvlText w:val="•"/>
      <w:lvlJc w:val="left"/>
      <w:pPr>
        <w:ind w:left="2589" w:hanging="360"/>
      </w:pPr>
      <w:rPr>
        <w:rFonts w:hint="default"/>
      </w:rPr>
    </w:lvl>
    <w:lvl w:ilvl="3" w:tplc="3C482174">
      <w:start w:val="1"/>
      <w:numFmt w:val="bullet"/>
      <w:lvlText w:val="•"/>
      <w:lvlJc w:val="left"/>
      <w:pPr>
        <w:ind w:left="3463" w:hanging="360"/>
      </w:pPr>
      <w:rPr>
        <w:rFonts w:hint="default"/>
      </w:rPr>
    </w:lvl>
    <w:lvl w:ilvl="4" w:tplc="B1709878">
      <w:start w:val="1"/>
      <w:numFmt w:val="bullet"/>
      <w:lvlText w:val="•"/>
      <w:lvlJc w:val="left"/>
      <w:pPr>
        <w:ind w:left="4338" w:hanging="360"/>
      </w:pPr>
      <w:rPr>
        <w:rFonts w:hint="default"/>
      </w:rPr>
    </w:lvl>
    <w:lvl w:ilvl="5" w:tplc="D4C4FDCE">
      <w:start w:val="1"/>
      <w:numFmt w:val="bullet"/>
      <w:lvlText w:val="•"/>
      <w:lvlJc w:val="left"/>
      <w:pPr>
        <w:ind w:left="5213" w:hanging="360"/>
      </w:pPr>
      <w:rPr>
        <w:rFonts w:hint="default"/>
      </w:rPr>
    </w:lvl>
    <w:lvl w:ilvl="6" w:tplc="94621EAC">
      <w:start w:val="1"/>
      <w:numFmt w:val="bullet"/>
      <w:lvlText w:val="•"/>
      <w:lvlJc w:val="left"/>
      <w:pPr>
        <w:ind w:left="6087" w:hanging="360"/>
      </w:pPr>
      <w:rPr>
        <w:rFonts w:hint="default"/>
      </w:rPr>
    </w:lvl>
    <w:lvl w:ilvl="7" w:tplc="11CAF14A">
      <w:start w:val="1"/>
      <w:numFmt w:val="bullet"/>
      <w:lvlText w:val="•"/>
      <w:lvlJc w:val="left"/>
      <w:pPr>
        <w:ind w:left="6962" w:hanging="360"/>
      </w:pPr>
      <w:rPr>
        <w:rFonts w:hint="default"/>
      </w:rPr>
    </w:lvl>
    <w:lvl w:ilvl="8" w:tplc="312842F4">
      <w:start w:val="1"/>
      <w:numFmt w:val="bullet"/>
      <w:lvlText w:val="•"/>
      <w:lvlJc w:val="left"/>
      <w:pPr>
        <w:ind w:left="78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F"/>
    <w:rsid w:val="002D177A"/>
    <w:rsid w:val="00332102"/>
    <w:rsid w:val="00412E2A"/>
    <w:rsid w:val="00681FF3"/>
    <w:rsid w:val="00763D0F"/>
    <w:rsid w:val="007975F9"/>
    <w:rsid w:val="007B6A9C"/>
    <w:rsid w:val="008B38F2"/>
    <w:rsid w:val="00A31051"/>
    <w:rsid w:val="00D2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671FF5B-75E3-4294-9447-2914A1C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3D0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3D0F"/>
  </w:style>
  <w:style w:type="paragraph" w:styleId="ListParagraph">
    <w:name w:val="List Paragraph"/>
    <w:basedOn w:val="Normal"/>
    <w:uiPriority w:val="1"/>
    <w:qFormat/>
    <w:rsid w:val="00763D0F"/>
    <w:pPr>
      <w:ind w:left="838" w:hanging="360"/>
    </w:pPr>
  </w:style>
  <w:style w:type="paragraph" w:customStyle="1" w:styleId="TableParagraph">
    <w:name w:val="Table Paragraph"/>
    <w:basedOn w:val="Normal"/>
    <w:uiPriority w:val="1"/>
    <w:qFormat/>
    <w:rsid w:val="00763D0F"/>
    <w:pPr>
      <w:spacing w:line="227" w:lineRule="exact"/>
      <w:ind w:left="95"/>
    </w:pPr>
  </w:style>
  <w:style w:type="paragraph" w:styleId="BalloonText">
    <w:name w:val="Balloon Text"/>
    <w:basedOn w:val="Normal"/>
    <w:link w:val="BalloonTextChar"/>
    <w:uiPriority w:val="99"/>
    <w:semiHidden/>
    <w:unhideWhenUsed/>
    <w:rsid w:val="008B38F2"/>
    <w:rPr>
      <w:rFonts w:ascii="Tahoma" w:hAnsi="Tahoma" w:cs="Tahoma"/>
      <w:sz w:val="16"/>
      <w:szCs w:val="16"/>
    </w:rPr>
  </w:style>
  <w:style w:type="character" w:customStyle="1" w:styleId="BalloonTextChar">
    <w:name w:val="Balloon Text Char"/>
    <w:basedOn w:val="DefaultParagraphFont"/>
    <w:link w:val="BalloonText"/>
    <w:uiPriority w:val="99"/>
    <w:semiHidden/>
    <w:rsid w:val="008B38F2"/>
    <w:rPr>
      <w:rFonts w:ascii="Tahoma" w:eastAsia="Arial" w:hAnsi="Tahoma" w:cs="Tahoma"/>
      <w:sz w:val="16"/>
      <w:szCs w:val="16"/>
    </w:rPr>
  </w:style>
  <w:style w:type="paragraph" w:styleId="Header">
    <w:name w:val="header"/>
    <w:basedOn w:val="Normal"/>
    <w:link w:val="HeaderChar"/>
    <w:uiPriority w:val="99"/>
    <w:semiHidden/>
    <w:unhideWhenUsed/>
    <w:rsid w:val="008B38F2"/>
    <w:pPr>
      <w:tabs>
        <w:tab w:val="center" w:pos="4513"/>
        <w:tab w:val="right" w:pos="9026"/>
      </w:tabs>
    </w:pPr>
  </w:style>
  <w:style w:type="character" w:customStyle="1" w:styleId="HeaderChar">
    <w:name w:val="Header Char"/>
    <w:basedOn w:val="DefaultParagraphFont"/>
    <w:link w:val="Header"/>
    <w:uiPriority w:val="99"/>
    <w:semiHidden/>
    <w:rsid w:val="008B38F2"/>
    <w:rPr>
      <w:rFonts w:ascii="Arial" w:eastAsia="Arial" w:hAnsi="Arial" w:cs="Arial"/>
    </w:rPr>
  </w:style>
  <w:style w:type="paragraph" w:styleId="Footer">
    <w:name w:val="footer"/>
    <w:basedOn w:val="Normal"/>
    <w:link w:val="FooterChar"/>
    <w:uiPriority w:val="99"/>
    <w:semiHidden/>
    <w:unhideWhenUsed/>
    <w:rsid w:val="008B38F2"/>
    <w:pPr>
      <w:tabs>
        <w:tab w:val="center" w:pos="4513"/>
        <w:tab w:val="right" w:pos="9026"/>
      </w:tabs>
    </w:pPr>
  </w:style>
  <w:style w:type="character" w:customStyle="1" w:styleId="FooterChar">
    <w:name w:val="Footer Char"/>
    <w:basedOn w:val="DefaultParagraphFont"/>
    <w:link w:val="Footer"/>
    <w:uiPriority w:val="99"/>
    <w:semiHidden/>
    <w:rsid w:val="008B38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Contributions to Eye Tests and Glasses Policy</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Contributions to Eye Tests and Glasses Policy</dc:title>
  <dc:subject>St Mary's policy on contributions to Eye Tests and Glasses for regular uses of VDU’s and other Display Screen Equipment</dc:subject>
  <dc:creator>St Mary's University</dc:creator>
  <cp:lastModifiedBy>Rebeca Tindall</cp:lastModifiedBy>
  <cp:revision>2</cp:revision>
  <dcterms:created xsi:type="dcterms:W3CDTF">2022-11-15T14:41:00Z</dcterms:created>
  <dcterms:modified xsi:type="dcterms:W3CDTF">2022-11-15T14:41:00Z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2014-03-17T00:00:00Z</vt:filetime>
  </property>
  <property fmtid="{D5CDD505-2E9C-101B-9397-08002B2CF9AE}" pid="3" name="Creator">
    <vt:lpwstr>Microsoft® Word 2010</vt:lpwstr>
  </property>
  <property fmtid="{D5CDD505-2E9C-101B-9397-08002B2CF9AE}" pid="4" name="LastSaved">
    <vt:filetime>2016-11-02T00:00:00Z</vt:filetime>
  </property>
</Properties>
</file>